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97" w:rsidRDefault="009A46D8">
      <w:r>
        <w:tab/>
      </w:r>
      <w:r>
        <w:tab/>
      </w:r>
      <w:r>
        <w:tab/>
      </w:r>
      <w:r>
        <w:tab/>
      </w:r>
      <w:r>
        <w:tab/>
      </w:r>
      <w:r>
        <w:tab/>
        <w:t>December 13</w:t>
      </w:r>
      <w:r w:rsidR="00D373CF">
        <w:t>, 2017</w:t>
      </w:r>
    </w:p>
    <w:p w:rsidR="00D373CF" w:rsidRDefault="00D373CF"/>
    <w:p w:rsidR="00D373CF" w:rsidRPr="00BE3AAB" w:rsidRDefault="00D373CF">
      <w:pPr>
        <w:rPr>
          <w:b/>
        </w:rPr>
      </w:pPr>
      <w:r w:rsidRPr="00BE3AAB">
        <w:rPr>
          <w:b/>
        </w:rPr>
        <w:t>Dietary risk factors for Alzheimer's disease</w:t>
      </w:r>
    </w:p>
    <w:p w:rsidR="00D373CF" w:rsidRDefault="00D373CF"/>
    <w:p w:rsidR="00D373CF" w:rsidRDefault="00D373CF">
      <w:r>
        <w:t>William B. Grant, PhD</w:t>
      </w:r>
    </w:p>
    <w:p w:rsidR="00D373CF" w:rsidRDefault="00D373CF"/>
    <w:p w:rsidR="00D373CF" w:rsidRDefault="00D373CF">
      <w:r>
        <w:t>From my research it appears that diets high in animal products including meat, eggs, cheese, and non-fatty cold water fish (but not milk) are an important risk factor for Alzheimer's disease</w:t>
      </w:r>
      <w:r w:rsidR="001753D9">
        <w:t xml:space="preserve"> (AD)</w:t>
      </w:r>
      <w:r>
        <w:t xml:space="preserve">. The countries with the highest </w:t>
      </w:r>
      <w:r w:rsidR="00D2747F">
        <w:t xml:space="preserve">dietary </w:t>
      </w:r>
      <w:r>
        <w:t>a</w:t>
      </w:r>
      <w:r w:rsidR="00D2747F">
        <w:t>mount of animal products, Brazil, Mongolia, and the U.S., have the highest p</w:t>
      </w:r>
      <w:r w:rsidR="001753D9">
        <w:t>revalence of AD</w:t>
      </w:r>
      <w:r w:rsidR="00BE3AAB">
        <w:t xml:space="preserve"> [Grant, 2016]</w:t>
      </w:r>
      <w:r w:rsidR="00D2747F">
        <w:t xml:space="preserve">. The Mediterranean diet, which has about half the animal product content of the </w:t>
      </w:r>
      <w:r w:rsidR="00BE3AAB">
        <w:t>standard Western diet such as in the U.S., is associated with a 50% reduction</w:t>
      </w:r>
      <w:r w:rsidR="001753D9">
        <w:t xml:space="preserve"> in risk of AD</w:t>
      </w:r>
      <w:r w:rsidR="00BE3AAB">
        <w:t>. However, diets with very low animal product content have an additional 50% reduction to 25% of the prevalence as in the countries with the highest animal product consumption.</w:t>
      </w:r>
    </w:p>
    <w:p w:rsidR="00BE3AAB" w:rsidRPr="00BE3AAB" w:rsidRDefault="00BE3AAB">
      <w:r>
        <w:br/>
      </w:r>
      <w:r w:rsidRPr="00BE3AAB">
        <w:t xml:space="preserve">The first paper linking meat consumption to risk of </w:t>
      </w:r>
      <w:r w:rsidR="001753D9">
        <w:t>AD</w:t>
      </w:r>
      <w:r w:rsidRPr="00BE3AAB">
        <w:t xml:space="preserve"> was from the Adventist</w:t>
      </w:r>
      <w:r w:rsidRPr="00BE3AAB">
        <w:rPr>
          <w:shd w:val="clear" w:color="auto" w:fill="FFFFFF"/>
        </w:rPr>
        <w:t xml:space="preserve"> Health Study. </w:t>
      </w:r>
      <w:r>
        <w:rPr>
          <w:shd w:val="clear" w:color="auto" w:fill="FFFFFF"/>
        </w:rPr>
        <w:t>"</w:t>
      </w:r>
      <w:r w:rsidRPr="00BE3AAB">
        <w:rPr>
          <w:shd w:val="clear" w:color="auto" w:fill="FFFFFF"/>
        </w:rPr>
        <w:t>The matched subjects who ate meat (including poultry and fish) were more than twice as likely to become demented as their vegetarian counterparts (relative risk 2.18, p = 0.065) and the discrepancy was further widened (relative risk 2.99, p = 0.048) when past meat consumption was taken into account.</w:t>
      </w:r>
      <w:r>
        <w:rPr>
          <w:shd w:val="clear" w:color="auto" w:fill="FFFFFF"/>
        </w:rPr>
        <w:t>" [Giem, 1993].</w:t>
      </w:r>
      <w:r w:rsidRPr="00BE3AAB">
        <w:rPr>
          <w:shd w:val="clear" w:color="auto" w:fill="FFFFFF"/>
        </w:rPr>
        <w:t> </w:t>
      </w:r>
    </w:p>
    <w:p w:rsidR="00E8665A" w:rsidRPr="002811BE" w:rsidRDefault="00E8665A"/>
    <w:p w:rsidR="00911A7D" w:rsidRDefault="0062399A">
      <w:pPr>
        <w:rPr>
          <w:color w:val="000000"/>
          <w:shd w:val="clear" w:color="auto" w:fill="FFFFFF"/>
        </w:rPr>
      </w:pPr>
      <w:r w:rsidRPr="002811BE">
        <w:t>The mechanisms linking animal product consumptio</w:t>
      </w:r>
      <w:r w:rsidR="001753D9">
        <w:t>n to risk of AD</w:t>
      </w:r>
      <w:r w:rsidRPr="002811BE">
        <w:t xml:space="preserve"> include those related to cholesterol</w:t>
      </w:r>
      <w:r w:rsidR="0033036F" w:rsidRPr="002811BE">
        <w:t xml:space="preserve"> [Czuba, 2017]</w:t>
      </w:r>
      <w:r w:rsidR="00911A7D">
        <w:t>,</w:t>
      </w:r>
      <w:r w:rsidRPr="002811BE">
        <w:t xml:space="preserve"> trace metals</w:t>
      </w:r>
      <w:r w:rsidR="007302E7" w:rsidRPr="002811BE">
        <w:t xml:space="preserve"> [Grant, 1997]</w:t>
      </w:r>
      <w:r w:rsidR="00911A7D">
        <w:t>, and advanced glycation end products (AGEs) [Perrone, 2015]</w:t>
      </w:r>
      <w:r w:rsidR="007302E7" w:rsidRPr="002811BE">
        <w:t>.</w:t>
      </w:r>
      <w:r w:rsidR="00413933">
        <w:t xml:space="preserve"> </w:t>
      </w:r>
      <w:r w:rsidR="002811BE" w:rsidRPr="002811BE">
        <w:t>Copper, iron and zinc are elevated in the senile plaques</w:t>
      </w:r>
      <w:r w:rsidR="00DB1892">
        <w:t xml:space="preserve"> of people with AD, where they could increase the formation of free radicals [Lovell, 1998</w:t>
      </w:r>
      <w:r w:rsidR="002811BE" w:rsidRPr="002811BE">
        <w:t>].</w:t>
      </w:r>
      <w:r w:rsidR="00413933">
        <w:t xml:space="preserve"> </w:t>
      </w:r>
      <w:r w:rsidR="002811BE" w:rsidRPr="002811BE">
        <w:t>Serum copper and iron levels are higher in those with AD [Vaz, 2017].</w:t>
      </w:r>
      <w:r w:rsidR="00413933">
        <w:t xml:space="preserve"> </w:t>
      </w:r>
      <w:r w:rsidR="002811BE" w:rsidRPr="002811BE">
        <w:t>The lactoovovegetarian diet is associated with significantly lower zinc absorption [Hunt, 1998].</w:t>
      </w:r>
      <w:r w:rsidR="00413933">
        <w:t xml:space="preserve"> </w:t>
      </w:r>
      <w:r w:rsidR="002811BE">
        <w:rPr>
          <w:color w:val="000000"/>
        </w:rPr>
        <w:t>"</w:t>
      </w:r>
      <w:r w:rsidR="002811BE" w:rsidRPr="002811BE">
        <w:rPr>
          <w:color w:val="000000"/>
        </w:rPr>
        <w:t xml:space="preserve">With elimination </w:t>
      </w:r>
      <w:r w:rsidR="002811BE" w:rsidRPr="00DB1892">
        <w:rPr>
          <w:color w:val="000000"/>
        </w:rPr>
        <w:t>of meat and increased intake of phytate-containing legumes and whole grains, the absorption of both iron and zinc is lower with vegetarian than with nonvegetarian, diets." [Hunt, 2003].</w:t>
      </w:r>
      <w:r w:rsidR="00DB1892" w:rsidRPr="00DB1892">
        <w:rPr>
          <w:color w:val="000000"/>
        </w:rPr>
        <w:t xml:space="preserve"> </w:t>
      </w:r>
      <w:r w:rsidR="00DB1892" w:rsidRPr="00DB1892">
        <w:rPr>
          <w:color w:val="000000"/>
          <w:shd w:val="clear" w:color="auto" w:fill="FFFFFF"/>
        </w:rPr>
        <w:t>Neurons are extremely sensitive to attacks by destructive free radicals</w:t>
      </w:r>
      <w:r w:rsidR="00DB1892">
        <w:rPr>
          <w:color w:val="000000"/>
          <w:shd w:val="clear" w:color="auto" w:fill="FFFFFF"/>
        </w:rPr>
        <w:t xml:space="preserve"> [Christen, 200</w:t>
      </w:r>
      <w:r w:rsidR="00911A7D">
        <w:rPr>
          <w:color w:val="000000"/>
          <w:shd w:val="clear" w:color="auto" w:fill="FFFFFF"/>
        </w:rPr>
        <w:t xml:space="preserve">0]. </w:t>
      </w:r>
    </w:p>
    <w:p w:rsidR="00911A7D" w:rsidRDefault="00911A7D">
      <w:pPr>
        <w:rPr>
          <w:color w:val="000000"/>
          <w:shd w:val="clear" w:color="auto" w:fill="FFFFFF"/>
        </w:rPr>
      </w:pPr>
    </w:p>
    <w:p w:rsidR="002811BE" w:rsidRPr="00DB1892" w:rsidRDefault="00911A7D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AGEs, which are formed in cooking meat at high dry temperatures such as bar-b-que or by aging cheese, or through the Millard reaction between glucose and proteins in the body. AGEs generate free radicals and increase inflammation [Ajith, 2016]. In combination with copper and sugars, AGEs also contribute to neurological dysfunction [Fica-Contreras, 2017]. </w:t>
      </w:r>
    </w:p>
    <w:p w:rsidR="001753D9" w:rsidRPr="00DB1892" w:rsidRDefault="001753D9">
      <w:pPr>
        <w:rPr>
          <w:color w:val="000000"/>
        </w:rPr>
      </w:pPr>
    </w:p>
    <w:p w:rsidR="001753D9" w:rsidRPr="00DB1892" w:rsidRDefault="001753D9">
      <w:pPr>
        <w:rPr>
          <w:color w:val="000000"/>
        </w:rPr>
      </w:pPr>
      <w:r w:rsidRPr="00DB1892">
        <w:rPr>
          <w:color w:val="000000"/>
        </w:rPr>
        <w:t>There is also evidence that higher vitamin D levels are associated w</w:t>
      </w:r>
      <w:r w:rsidR="00E2423B" w:rsidRPr="00DB1892">
        <w:rPr>
          <w:color w:val="000000"/>
        </w:rPr>
        <w:t xml:space="preserve">ith lower risk of developing AD [Littlejohns, 2014], [Feart, 2017]. </w:t>
      </w:r>
    </w:p>
    <w:p w:rsidR="00E2423B" w:rsidRPr="00DB1892" w:rsidRDefault="00E2423B">
      <w:pPr>
        <w:rPr>
          <w:color w:val="000000"/>
        </w:rPr>
      </w:pPr>
    </w:p>
    <w:p w:rsidR="00E2423B" w:rsidRPr="00DB1892" w:rsidRDefault="00E2423B">
      <w:pPr>
        <w:rPr>
          <w:color w:val="000000"/>
        </w:rPr>
      </w:pPr>
    </w:p>
    <w:p w:rsidR="00E2423B" w:rsidRPr="002811BE" w:rsidRDefault="00E2423B">
      <w:pPr>
        <w:rPr>
          <w:color w:val="000000"/>
        </w:rPr>
      </w:pPr>
      <w:r w:rsidRPr="00911A7D">
        <w:rPr>
          <w:b/>
          <w:color w:val="000000"/>
        </w:rPr>
        <w:t xml:space="preserve">References </w:t>
      </w:r>
      <w:r>
        <w:rPr>
          <w:color w:val="000000"/>
        </w:rPr>
        <w:t xml:space="preserve">(abstracts can be found by putting the title in the search field of </w:t>
      </w:r>
      <w:r w:rsidRPr="00E2423B">
        <w:rPr>
          <w:color w:val="000000"/>
        </w:rPr>
        <w:t>https://www.ncbi.nlm.nih.gov/pubmed/</w:t>
      </w:r>
      <w:r w:rsidR="0087640C">
        <w:rPr>
          <w:color w:val="000000"/>
        </w:rPr>
        <w:t>)</w:t>
      </w:r>
    </w:p>
    <w:p w:rsidR="00E2423B" w:rsidRDefault="00E2423B" w:rsidP="00E2423B">
      <w:pPr>
        <w:autoSpaceDE w:val="0"/>
        <w:autoSpaceDN w:val="0"/>
        <w:adjustRightInd w:val="0"/>
        <w:ind w:left="720" w:hanging="720"/>
      </w:pPr>
    </w:p>
    <w:p w:rsidR="00911A7D" w:rsidRPr="00911A7D" w:rsidRDefault="00911A7D" w:rsidP="00911A7D">
      <w:pPr>
        <w:pStyle w:val="desc"/>
        <w:shd w:val="clear" w:color="auto" w:fill="FFFFFF"/>
        <w:spacing w:before="0" w:beforeAutospacing="0" w:after="0" w:afterAutospacing="0"/>
        <w:ind w:left="720" w:hanging="720"/>
      </w:pPr>
      <w:r w:rsidRPr="00911A7D">
        <w:t xml:space="preserve">Ajith TA, Vinodkumar P. </w:t>
      </w:r>
      <w:hyperlink r:id="rId7" w:history="1">
        <w:r w:rsidRPr="00911A7D">
          <w:rPr>
            <w:rStyle w:val="Hyperlink"/>
            <w:bCs/>
            <w:color w:val="auto"/>
            <w:u w:val="none"/>
          </w:rPr>
          <w:t>Advanced Glycation End Products</w:t>
        </w:r>
        <w:r w:rsidRPr="00911A7D">
          <w:rPr>
            <w:rStyle w:val="Hyperlink"/>
            <w:color w:val="auto"/>
            <w:u w:val="none"/>
          </w:rPr>
          <w:t>: Association with the Pathogenesis of Diseases and the Current Therapeutic Advances.</w:t>
        </w:r>
      </w:hyperlink>
      <w:r w:rsidRPr="00911A7D">
        <w:t xml:space="preserve"> </w:t>
      </w:r>
      <w:r w:rsidRPr="00911A7D">
        <w:rPr>
          <w:rStyle w:val="jrnl"/>
        </w:rPr>
        <w:t>Curr Clin Pharmacol</w:t>
      </w:r>
      <w:r w:rsidRPr="00911A7D">
        <w:t>. 2016;11(2):118-27. </w:t>
      </w:r>
    </w:p>
    <w:p w:rsidR="00911A7D" w:rsidRPr="00911A7D" w:rsidRDefault="00911A7D" w:rsidP="00911A7D">
      <w:pPr>
        <w:pStyle w:val="desc"/>
        <w:shd w:val="clear" w:color="auto" w:fill="FFFFFF"/>
        <w:spacing w:before="0" w:beforeAutospacing="0" w:after="0" w:afterAutospacing="0"/>
        <w:ind w:left="720" w:hanging="720"/>
      </w:pPr>
      <w:r w:rsidRPr="00911A7D">
        <w:rPr>
          <w:bCs/>
        </w:rPr>
        <w:lastRenderedPageBreak/>
        <w:t>Christen</w:t>
      </w:r>
      <w:r w:rsidRPr="00911A7D">
        <w:t xml:space="preserve"> Y. </w:t>
      </w:r>
      <w:hyperlink r:id="rId8" w:history="1">
        <w:r w:rsidRPr="00911A7D">
          <w:rPr>
            <w:rStyle w:val="Hyperlink"/>
            <w:bCs/>
            <w:color w:val="auto"/>
            <w:u w:val="none"/>
          </w:rPr>
          <w:t>Oxidative stress</w:t>
        </w:r>
        <w:r w:rsidRPr="00911A7D">
          <w:rPr>
            <w:rStyle w:val="Hyperlink"/>
            <w:color w:val="auto"/>
            <w:u w:val="none"/>
          </w:rPr>
          <w:t> and </w:t>
        </w:r>
        <w:r w:rsidRPr="00911A7D">
          <w:rPr>
            <w:rStyle w:val="Hyperlink"/>
            <w:bCs/>
            <w:color w:val="auto"/>
            <w:u w:val="none"/>
          </w:rPr>
          <w:t>Alzheimer disease</w:t>
        </w:r>
        <w:r w:rsidRPr="00911A7D">
          <w:rPr>
            <w:rStyle w:val="Hyperlink"/>
            <w:color w:val="auto"/>
            <w:u w:val="none"/>
          </w:rPr>
          <w:t>.</w:t>
        </w:r>
      </w:hyperlink>
      <w:r w:rsidRPr="00911A7D">
        <w:t xml:space="preserve"> </w:t>
      </w:r>
      <w:r w:rsidRPr="00911A7D">
        <w:rPr>
          <w:rStyle w:val="jrnl"/>
        </w:rPr>
        <w:t>Am J Clin Nutr</w:t>
      </w:r>
      <w:r w:rsidRPr="00911A7D">
        <w:t>. </w:t>
      </w:r>
      <w:r w:rsidRPr="00911A7D">
        <w:rPr>
          <w:bCs/>
        </w:rPr>
        <w:t>2000</w:t>
      </w:r>
      <w:r w:rsidRPr="00911A7D">
        <w:t> Feb;71(2):621S-629S.</w:t>
      </w:r>
    </w:p>
    <w:p w:rsidR="00E2423B" w:rsidRPr="00E2423B" w:rsidRDefault="00E2423B" w:rsidP="00E2423B">
      <w:pPr>
        <w:pStyle w:val="desc"/>
        <w:shd w:val="clear" w:color="auto" w:fill="FFFFFF"/>
        <w:spacing w:before="0" w:beforeAutospacing="0" w:after="0" w:afterAutospacing="0"/>
        <w:ind w:left="720" w:hanging="720"/>
      </w:pPr>
      <w:r w:rsidRPr="00E2423B">
        <w:t xml:space="preserve">Czuba E, Steliga A, Lietzau G, Kowiański P. </w:t>
      </w:r>
      <w:hyperlink r:id="rId9" w:history="1">
        <w:r w:rsidRPr="00E2423B">
          <w:rPr>
            <w:rStyle w:val="Hyperlink"/>
            <w:bCs/>
            <w:color w:val="auto"/>
            <w:u w:val="none"/>
          </w:rPr>
          <w:t>Cholesterol</w:t>
        </w:r>
        <w:r w:rsidRPr="00E2423B">
          <w:rPr>
            <w:rStyle w:val="Hyperlink"/>
            <w:color w:val="auto"/>
            <w:u w:val="none"/>
          </w:rPr>
          <w:t> as a modifying agent of the neurovascular unit structure and function under physiological and pathological conditions.</w:t>
        </w:r>
      </w:hyperlink>
      <w:r w:rsidRPr="00E2423B">
        <w:t xml:space="preserve"> </w:t>
      </w:r>
      <w:r w:rsidRPr="00E2423B">
        <w:rPr>
          <w:rStyle w:val="jrnl"/>
        </w:rPr>
        <w:t>Metab Brain Dis</w:t>
      </w:r>
      <w:r w:rsidRPr="00E2423B">
        <w:t>. 2017 Aug;32(4):935-948.</w:t>
      </w:r>
    </w:p>
    <w:p w:rsidR="00E2423B" w:rsidRPr="00E2423B" w:rsidRDefault="00E2423B" w:rsidP="00E2423B">
      <w:pPr>
        <w:pStyle w:val="desc"/>
        <w:shd w:val="clear" w:color="auto" w:fill="FFFFFF"/>
        <w:spacing w:before="0" w:beforeAutospacing="0" w:after="0" w:afterAutospacing="0"/>
        <w:ind w:left="720" w:hanging="720"/>
      </w:pPr>
      <w:r w:rsidRPr="00E2423B">
        <w:t>Feart C, Helmer C, Merle B, Herrmann FR, </w:t>
      </w:r>
      <w:r w:rsidRPr="00E2423B">
        <w:rPr>
          <w:bCs/>
        </w:rPr>
        <w:t>Annweiler</w:t>
      </w:r>
      <w:r w:rsidRPr="00E2423B">
        <w:t xml:space="preserve"> C, Dartigues JF, Delcourt C, Samieri C. </w:t>
      </w:r>
      <w:hyperlink r:id="rId10" w:history="1">
        <w:r w:rsidRPr="00E2423B">
          <w:rPr>
            <w:rStyle w:val="Hyperlink"/>
            <w:color w:val="auto"/>
            <w:u w:val="none"/>
          </w:rPr>
          <w:t>Associations of lower </w:t>
        </w:r>
        <w:r w:rsidRPr="00E2423B">
          <w:rPr>
            <w:rStyle w:val="Hyperlink"/>
            <w:bCs/>
            <w:color w:val="auto"/>
            <w:u w:val="none"/>
          </w:rPr>
          <w:t>vitamin D</w:t>
        </w:r>
        <w:r w:rsidRPr="00E2423B">
          <w:rPr>
            <w:rStyle w:val="Hyperlink"/>
            <w:color w:val="auto"/>
            <w:u w:val="none"/>
          </w:rPr>
          <w:t> concentrations with cognitive decline and long-term risk of dementia and </w:t>
        </w:r>
        <w:r w:rsidRPr="00E2423B">
          <w:rPr>
            <w:rStyle w:val="Hyperlink"/>
            <w:bCs/>
            <w:color w:val="auto"/>
            <w:u w:val="none"/>
          </w:rPr>
          <w:t>Alzheimer's</w:t>
        </w:r>
        <w:r w:rsidRPr="00E2423B">
          <w:rPr>
            <w:rStyle w:val="Hyperlink"/>
            <w:color w:val="auto"/>
            <w:u w:val="none"/>
          </w:rPr>
          <w:t> </w:t>
        </w:r>
        <w:r w:rsidRPr="00E2423B">
          <w:rPr>
            <w:rStyle w:val="Hyperlink"/>
            <w:bCs/>
            <w:color w:val="auto"/>
            <w:u w:val="none"/>
          </w:rPr>
          <w:t>disease</w:t>
        </w:r>
        <w:r w:rsidRPr="00E2423B">
          <w:rPr>
            <w:rStyle w:val="Hyperlink"/>
            <w:color w:val="auto"/>
            <w:u w:val="none"/>
          </w:rPr>
          <w:t> in older adults.</w:t>
        </w:r>
      </w:hyperlink>
      <w:r w:rsidRPr="00E2423B">
        <w:t xml:space="preserve"> </w:t>
      </w:r>
      <w:r w:rsidRPr="00E2423B">
        <w:rPr>
          <w:rStyle w:val="jrnl"/>
        </w:rPr>
        <w:t>Alzheimers Dement</w:t>
      </w:r>
      <w:r w:rsidRPr="00E2423B">
        <w:t>. 2017 Nov;13(11):1207-1216. </w:t>
      </w:r>
    </w:p>
    <w:p w:rsidR="00911A7D" w:rsidRPr="00911A7D" w:rsidRDefault="00911A7D" w:rsidP="00911A7D">
      <w:pPr>
        <w:pStyle w:val="desc"/>
        <w:shd w:val="clear" w:color="auto" w:fill="FFFFFF"/>
        <w:spacing w:before="0" w:beforeAutospacing="0" w:after="0" w:afterAutospacing="0"/>
        <w:ind w:left="720" w:hanging="720"/>
      </w:pPr>
      <w:r w:rsidRPr="00911A7D">
        <w:t xml:space="preserve">Fica-Contreras SM, Shuster SO, Durfee ND, Bowe GJK, Henning NJ, Hill SA, Vrla GD, Stillman DR, Suralik KM, Sandwick RK, Choi S. </w:t>
      </w:r>
      <w:hyperlink r:id="rId11" w:history="1">
        <w:r w:rsidRPr="00911A7D">
          <w:rPr>
            <w:rStyle w:val="Hyperlink"/>
            <w:bCs/>
            <w:color w:val="auto"/>
            <w:u w:val="none"/>
          </w:rPr>
          <w:t>Glycation</w:t>
        </w:r>
        <w:r w:rsidRPr="00911A7D">
          <w:rPr>
            <w:rStyle w:val="Hyperlink"/>
            <w:color w:val="auto"/>
            <w:u w:val="none"/>
          </w:rPr>
          <w:t> of Lys-16 and Arg-5 in amyloid-β and the presence of Cu&lt;sup&gt;2+&lt;/sup&gt; play a major role in the oxidative stress </w:t>
        </w:r>
        <w:r w:rsidRPr="00911A7D">
          <w:rPr>
            <w:rStyle w:val="Hyperlink"/>
            <w:bCs/>
            <w:color w:val="auto"/>
            <w:u w:val="none"/>
          </w:rPr>
          <w:t>mechanism</w:t>
        </w:r>
        <w:r w:rsidRPr="00911A7D">
          <w:rPr>
            <w:rStyle w:val="Hyperlink"/>
            <w:color w:val="auto"/>
            <w:u w:val="none"/>
          </w:rPr>
          <w:t> of </w:t>
        </w:r>
        <w:r w:rsidRPr="00911A7D">
          <w:rPr>
            <w:rStyle w:val="Hyperlink"/>
            <w:bCs/>
            <w:color w:val="auto"/>
            <w:u w:val="none"/>
          </w:rPr>
          <w:t>Alzheimer's</w:t>
        </w:r>
        <w:r w:rsidRPr="00911A7D">
          <w:rPr>
            <w:rStyle w:val="Hyperlink"/>
            <w:color w:val="auto"/>
            <w:u w:val="none"/>
          </w:rPr>
          <w:t> </w:t>
        </w:r>
        <w:r w:rsidRPr="00911A7D">
          <w:rPr>
            <w:rStyle w:val="Hyperlink"/>
            <w:bCs/>
            <w:color w:val="auto"/>
            <w:u w:val="none"/>
          </w:rPr>
          <w:t>disease</w:t>
        </w:r>
        <w:r w:rsidRPr="00911A7D">
          <w:rPr>
            <w:rStyle w:val="Hyperlink"/>
            <w:color w:val="auto"/>
            <w:u w:val="none"/>
          </w:rPr>
          <w:t>.</w:t>
        </w:r>
      </w:hyperlink>
      <w:r w:rsidRPr="00911A7D">
        <w:t xml:space="preserve"> </w:t>
      </w:r>
      <w:r w:rsidRPr="00911A7D">
        <w:rPr>
          <w:rStyle w:val="jrnl"/>
        </w:rPr>
        <w:t>J Biol Inorg Chem</w:t>
      </w:r>
      <w:r w:rsidRPr="00911A7D">
        <w:t>. 2017 Dec;22(8):1211-1222. </w:t>
      </w:r>
    </w:p>
    <w:p w:rsidR="00E2423B" w:rsidRPr="00E2423B" w:rsidRDefault="00E2423B" w:rsidP="00E2423B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 w:rsidRPr="00E2423B">
        <w:rPr>
          <w:rFonts w:eastAsiaTheme="minorHAnsi"/>
        </w:rPr>
        <w:t>Giem P, Beeson WL, Fraser GE: The incidence of dementia and intake of animal products: preliminary findings from the Adventist Health Study. Neuroepidemiology 12:28–36, 1993.</w:t>
      </w:r>
    </w:p>
    <w:p w:rsidR="00E2423B" w:rsidRPr="00E2423B" w:rsidRDefault="00E2423B" w:rsidP="00E2423B">
      <w:pPr>
        <w:pStyle w:val="title"/>
        <w:shd w:val="clear" w:color="auto" w:fill="FFFFFF"/>
        <w:spacing w:before="0" w:beforeAutospacing="0" w:after="0" w:afterAutospacing="0"/>
        <w:ind w:left="720" w:hanging="720"/>
      </w:pPr>
      <w:r w:rsidRPr="00E2423B">
        <w:t xml:space="preserve">Hunt JR, Matthys LA, Johnson LK. </w:t>
      </w:r>
      <w:hyperlink r:id="rId12" w:history="1">
        <w:r w:rsidRPr="00E2423B">
          <w:rPr>
            <w:rStyle w:val="Hyperlink"/>
            <w:bCs/>
            <w:color w:val="auto"/>
            <w:u w:val="none"/>
          </w:rPr>
          <w:t>Zinc</w:t>
        </w:r>
        <w:r w:rsidRPr="00E2423B">
          <w:rPr>
            <w:rStyle w:val="Hyperlink"/>
            <w:color w:val="auto"/>
            <w:u w:val="none"/>
          </w:rPr>
          <w:t> absorption, mineral balance, and blood lipids in women consuming controlled lactoovovegetarian and omnivorous diets for 8 wk.</w:t>
        </w:r>
      </w:hyperlink>
      <w:r w:rsidRPr="00E2423B">
        <w:t xml:space="preserve"> </w:t>
      </w:r>
      <w:r w:rsidRPr="00E2423B">
        <w:rPr>
          <w:rStyle w:val="jrnl"/>
        </w:rPr>
        <w:t>Am J Clin Nutr</w:t>
      </w:r>
      <w:r w:rsidRPr="00E2423B">
        <w:t>. 1998 Mar;67(3):421-30.</w:t>
      </w:r>
    </w:p>
    <w:p w:rsidR="00E2423B" w:rsidRPr="00E2423B" w:rsidRDefault="00E2423B" w:rsidP="00E2423B">
      <w:pPr>
        <w:pStyle w:val="desc"/>
        <w:shd w:val="clear" w:color="auto" w:fill="FFFFFF"/>
        <w:spacing w:before="0" w:beforeAutospacing="0" w:after="0" w:afterAutospacing="0"/>
        <w:ind w:left="720" w:hanging="720"/>
      </w:pPr>
      <w:r w:rsidRPr="00E2423B">
        <w:t xml:space="preserve">Hunt JR. </w:t>
      </w:r>
      <w:hyperlink r:id="rId13" w:history="1">
        <w:r w:rsidRPr="00E2423B">
          <w:rPr>
            <w:rStyle w:val="Hyperlink"/>
            <w:color w:val="auto"/>
            <w:u w:val="none"/>
          </w:rPr>
          <w:t>Bioavailability of </w:t>
        </w:r>
        <w:r w:rsidRPr="00E2423B">
          <w:rPr>
            <w:rStyle w:val="Hyperlink"/>
            <w:bCs/>
            <w:color w:val="auto"/>
            <w:u w:val="none"/>
          </w:rPr>
          <w:t>iron</w:t>
        </w:r>
        <w:r w:rsidRPr="00E2423B">
          <w:rPr>
            <w:rStyle w:val="Hyperlink"/>
            <w:color w:val="auto"/>
            <w:u w:val="none"/>
          </w:rPr>
          <w:t>, </w:t>
        </w:r>
        <w:r w:rsidRPr="00E2423B">
          <w:rPr>
            <w:rStyle w:val="Hyperlink"/>
            <w:bCs/>
            <w:color w:val="auto"/>
            <w:u w:val="none"/>
          </w:rPr>
          <w:t>zinc</w:t>
        </w:r>
        <w:r w:rsidRPr="00E2423B">
          <w:rPr>
            <w:rStyle w:val="Hyperlink"/>
            <w:color w:val="auto"/>
            <w:u w:val="none"/>
          </w:rPr>
          <w:t>, and other trace minerals from vegetarian diets.</w:t>
        </w:r>
      </w:hyperlink>
      <w:r w:rsidRPr="00E2423B">
        <w:t xml:space="preserve"> </w:t>
      </w:r>
      <w:r w:rsidRPr="00E2423B">
        <w:rPr>
          <w:rStyle w:val="jrnl"/>
        </w:rPr>
        <w:t>Am J Clin Nutr</w:t>
      </w:r>
      <w:r w:rsidRPr="00E2423B">
        <w:t>. 2003 Sep;78(3 Suppl):633S-639S.</w:t>
      </w:r>
    </w:p>
    <w:p w:rsidR="00E2423B" w:rsidRPr="00E2423B" w:rsidRDefault="00E2423B" w:rsidP="00E2423B">
      <w:pPr>
        <w:pStyle w:val="desc"/>
        <w:spacing w:before="0" w:beforeAutospacing="0" w:after="0" w:afterAutospacing="0"/>
        <w:ind w:left="720" w:hanging="720"/>
      </w:pPr>
      <w:r w:rsidRPr="00E2423B">
        <w:rPr>
          <w:bCs/>
        </w:rPr>
        <w:t>Littlejohns</w:t>
      </w:r>
      <w:r w:rsidRPr="00E2423B">
        <w:t xml:space="preserve"> TJ, Henley WE, Lang IA, Annweiler C, Beauchet O, Chaves PH, Fried L, Kestenbaum BR, Kuller LH, Langa KM, Lopez OL, Kos K, Soni M, Llewellyn DJ. </w:t>
      </w:r>
      <w:hyperlink r:id="rId14" w:history="1">
        <w:r w:rsidRPr="00E2423B">
          <w:rPr>
            <w:rStyle w:val="Hyperlink"/>
            <w:color w:val="auto"/>
            <w:u w:val="none"/>
          </w:rPr>
          <w:t xml:space="preserve">Vitamin D and the risk of dementia and </w:t>
        </w:r>
        <w:r w:rsidRPr="00E2423B">
          <w:rPr>
            <w:rStyle w:val="Hyperlink"/>
            <w:bCs/>
            <w:color w:val="auto"/>
            <w:u w:val="none"/>
          </w:rPr>
          <w:t>Alzheimer disease</w:t>
        </w:r>
        <w:r w:rsidRPr="00E2423B">
          <w:rPr>
            <w:rStyle w:val="Hyperlink"/>
            <w:color w:val="auto"/>
            <w:u w:val="none"/>
          </w:rPr>
          <w:t>.</w:t>
        </w:r>
      </w:hyperlink>
      <w:r w:rsidRPr="00E2423B">
        <w:t xml:space="preserve"> </w:t>
      </w:r>
      <w:r w:rsidRPr="00E2423B">
        <w:rPr>
          <w:rStyle w:val="jrnl"/>
        </w:rPr>
        <w:t>Neurology</w:t>
      </w:r>
      <w:r w:rsidRPr="00E2423B">
        <w:t xml:space="preserve">. 2014 Sep 2;83(10):920-8. </w:t>
      </w:r>
    </w:p>
    <w:p w:rsidR="00E2423B" w:rsidRPr="002811BE" w:rsidRDefault="00E2423B" w:rsidP="002811BE">
      <w:pPr>
        <w:pStyle w:val="desc"/>
        <w:shd w:val="clear" w:color="auto" w:fill="FFFFFF"/>
        <w:spacing w:before="0" w:beforeAutospacing="0" w:after="0" w:afterAutospacing="0"/>
        <w:ind w:left="720" w:hanging="720"/>
      </w:pPr>
      <w:r w:rsidRPr="002811BE">
        <w:t xml:space="preserve">Lovell MA, Robertson JD, Teesdale WJ, Campbell JL, Markesbery WR. </w:t>
      </w:r>
      <w:hyperlink r:id="rId15" w:history="1">
        <w:r w:rsidRPr="002811BE">
          <w:rPr>
            <w:rStyle w:val="Hyperlink"/>
            <w:bCs/>
            <w:color w:val="auto"/>
            <w:u w:val="none"/>
          </w:rPr>
          <w:t>Copper</w:t>
        </w:r>
        <w:r w:rsidRPr="002811BE">
          <w:rPr>
            <w:rStyle w:val="Hyperlink"/>
            <w:color w:val="auto"/>
            <w:u w:val="none"/>
          </w:rPr>
          <w:t>, </w:t>
        </w:r>
        <w:r w:rsidRPr="002811BE">
          <w:rPr>
            <w:rStyle w:val="Hyperlink"/>
            <w:bCs/>
            <w:color w:val="auto"/>
            <w:u w:val="none"/>
          </w:rPr>
          <w:t>iron</w:t>
        </w:r>
        <w:r w:rsidRPr="002811BE">
          <w:rPr>
            <w:rStyle w:val="Hyperlink"/>
            <w:color w:val="auto"/>
            <w:u w:val="none"/>
          </w:rPr>
          <w:t> and </w:t>
        </w:r>
        <w:r w:rsidRPr="002811BE">
          <w:rPr>
            <w:rStyle w:val="Hyperlink"/>
            <w:bCs/>
            <w:color w:val="auto"/>
            <w:u w:val="none"/>
          </w:rPr>
          <w:t>zinc</w:t>
        </w:r>
        <w:r w:rsidRPr="002811BE">
          <w:rPr>
            <w:rStyle w:val="Hyperlink"/>
            <w:color w:val="auto"/>
            <w:u w:val="none"/>
          </w:rPr>
          <w:t> in </w:t>
        </w:r>
        <w:r w:rsidRPr="002811BE">
          <w:rPr>
            <w:rStyle w:val="Hyperlink"/>
            <w:bCs/>
            <w:color w:val="auto"/>
            <w:u w:val="none"/>
          </w:rPr>
          <w:t>Alzheimer's disease</w:t>
        </w:r>
        <w:r w:rsidRPr="002811BE">
          <w:rPr>
            <w:rStyle w:val="Hyperlink"/>
            <w:color w:val="auto"/>
            <w:u w:val="none"/>
          </w:rPr>
          <w:t> </w:t>
        </w:r>
        <w:r w:rsidRPr="002811BE">
          <w:rPr>
            <w:rStyle w:val="Hyperlink"/>
            <w:bCs/>
            <w:color w:val="auto"/>
            <w:u w:val="none"/>
          </w:rPr>
          <w:t>senile plaques</w:t>
        </w:r>
        <w:r w:rsidRPr="002811BE">
          <w:rPr>
            <w:rStyle w:val="Hyperlink"/>
            <w:color w:val="auto"/>
            <w:u w:val="none"/>
          </w:rPr>
          <w:t>.</w:t>
        </w:r>
      </w:hyperlink>
      <w:r w:rsidRPr="002811BE">
        <w:t xml:space="preserve"> </w:t>
      </w:r>
      <w:r w:rsidRPr="002811BE">
        <w:rPr>
          <w:rStyle w:val="jrnl"/>
        </w:rPr>
        <w:t>J Neurol Sci</w:t>
      </w:r>
      <w:r w:rsidRPr="002811BE">
        <w:t>. 1998 Jun 11;158(1):47-52.</w:t>
      </w:r>
    </w:p>
    <w:p w:rsidR="00E2423B" w:rsidRPr="002811BE" w:rsidRDefault="00E2423B" w:rsidP="002811BE">
      <w:pPr>
        <w:pStyle w:val="desc"/>
        <w:shd w:val="clear" w:color="auto" w:fill="FFFFFF"/>
        <w:spacing w:before="0" w:beforeAutospacing="0" w:after="0" w:afterAutospacing="0"/>
        <w:ind w:left="720" w:hanging="720"/>
      </w:pPr>
      <w:r w:rsidRPr="002811BE">
        <w:t xml:space="preserve">Vaz FNC, Fermino BL, Haskel MVL, Wouk J, de Freitas GBL, Fabbri R, Montagna E, Rocha JBT, Bonini JS. </w:t>
      </w:r>
      <w:hyperlink r:id="rId16" w:history="1">
        <w:r w:rsidRPr="002811BE">
          <w:rPr>
            <w:rStyle w:val="Hyperlink"/>
            <w:color w:val="auto"/>
            <w:u w:val="none"/>
          </w:rPr>
          <w:t>The Relationship Between Copper, Iron, and Selenium Levels and </w:t>
        </w:r>
        <w:r w:rsidRPr="002811BE">
          <w:rPr>
            <w:rStyle w:val="Hyperlink"/>
            <w:bCs/>
            <w:color w:val="auto"/>
            <w:u w:val="none"/>
          </w:rPr>
          <w:t>Alzheimer Disease</w:t>
        </w:r>
        <w:r w:rsidRPr="002811BE">
          <w:rPr>
            <w:rStyle w:val="Hyperlink"/>
            <w:color w:val="auto"/>
            <w:u w:val="none"/>
          </w:rPr>
          <w:t>.</w:t>
        </w:r>
      </w:hyperlink>
      <w:r w:rsidRPr="002811BE">
        <w:t xml:space="preserve"> </w:t>
      </w:r>
      <w:r w:rsidRPr="002811BE">
        <w:rPr>
          <w:rStyle w:val="jrnl"/>
        </w:rPr>
        <w:t>Biol </w:t>
      </w:r>
      <w:r w:rsidRPr="002811BE">
        <w:rPr>
          <w:rStyle w:val="jrnl"/>
          <w:bCs/>
        </w:rPr>
        <w:t>Trace</w:t>
      </w:r>
      <w:r w:rsidRPr="002811BE">
        <w:rPr>
          <w:rStyle w:val="jrnl"/>
        </w:rPr>
        <w:t> Elem Res</w:t>
      </w:r>
      <w:r w:rsidRPr="002811BE">
        <w:t>. 2017 May 13. doi: 10.1007/s12011-017-1042-y. [Epub ahead of print]</w:t>
      </w:r>
    </w:p>
    <w:p w:rsidR="005A0390" w:rsidRDefault="005A0390" w:rsidP="00B72158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13933" w:rsidRPr="003E19E9" w:rsidRDefault="00413933" w:rsidP="00413933">
      <w:pPr>
        <w:tabs>
          <w:tab w:val="left" w:pos="2085"/>
        </w:tabs>
        <w:ind w:left="2088" w:hanging="2088"/>
      </w:pPr>
      <w:r w:rsidRPr="003E19E9">
        <w:t>My related papers:</w:t>
      </w:r>
    </w:p>
    <w:p w:rsidR="00413933" w:rsidRDefault="00413933" w:rsidP="00413933">
      <w:pPr>
        <w:pStyle w:val="HTMLBody"/>
        <w:ind w:left="720" w:hanging="720"/>
        <w:rPr>
          <w:rFonts w:ascii="Times New Roman" w:hAnsi="Times New Roman"/>
          <w:sz w:val="24"/>
          <w:szCs w:val="24"/>
        </w:rPr>
      </w:pPr>
      <w:r w:rsidRPr="00BE29A5">
        <w:rPr>
          <w:rFonts w:ascii="Times New Roman" w:hAnsi="Times New Roman"/>
          <w:sz w:val="24"/>
          <w:szCs w:val="24"/>
        </w:rPr>
        <w:t xml:space="preserve">Grant WB. Dietary links to Alzheimer's disease. </w:t>
      </w:r>
      <w:r w:rsidRPr="00BE29A5">
        <w:rPr>
          <w:rFonts w:ascii="Times New Roman" w:hAnsi="Times New Roman"/>
          <w:i/>
          <w:sz w:val="24"/>
          <w:szCs w:val="24"/>
        </w:rPr>
        <w:t>Alz Dis Rev</w:t>
      </w:r>
      <w:r w:rsidRPr="00BE29A5">
        <w:rPr>
          <w:rFonts w:ascii="Times New Roman" w:hAnsi="Times New Roman"/>
          <w:sz w:val="24"/>
          <w:szCs w:val="24"/>
        </w:rPr>
        <w:t xml:space="preserve"> 1997;2:42-55. </w:t>
      </w:r>
    </w:p>
    <w:p w:rsidR="009A46D8" w:rsidRPr="00BE29A5" w:rsidRDefault="009A46D8" w:rsidP="00413933">
      <w:pPr>
        <w:pStyle w:val="HTMLBody"/>
        <w:ind w:left="720" w:hanging="720"/>
        <w:rPr>
          <w:rFonts w:ascii="Times New Roman" w:hAnsi="Times New Roman"/>
          <w:sz w:val="24"/>
          <w:szCs w:val="24"/>
        </w:rPr>
      </w:pPr>
    </w:p>
    <w:p w:rsidR="00413933" w:rsidRDefault="00413933" w:rsidP="00413933">
      <w:pPr>
        <w:tabs>
          <w:tab w:val="left" w:pos="2085"/>
        </w:tabs>
        <w:ind w:left="720" w:hanging="720"/>
        <w:rPr>
          <w:color w:val="000000"/>
        </w:rPr>
      </w:pPr>
      <w:r w:rsidRPr="00BE29A5">
        <w:rPr>
          <w:color w:val="000000"/>
        </w:rPr>
        <w:t>Grant WB. The APOE-epsilon4 allele and Alzheimer disease among African Americans, Hispanics, and Whites,</w:t>
      </w:r>
      <w:r w:rsidRPr="00BE29A5">
        <w:rPr>
          <w:i/>
          <w:color w:val="000000"/>
        </w:rPr>
        <w:t xml:space="preserve"> JAMA,</w:t>
      </w:r>
      <w:r w:rsidRPr="00BE29A5">
        <w:rPr>
          <w:color w:val="000000"/>
        </w:rPr>
        <w:t xml:space="preserve"> letter. 1998;280:162-3.</w:t>
      </w:r>
    </w:p>
    <w:p w:rsidR="00413933" w:rsidRPr="00BE29A5" w:rsidRDefault="00413933" w:rsidP="00413933">
      <w:pPr>
        <w:tabs>
          <w:tab w:val="left" w:pos="2085"/>
        </w:tabs>
        <w:ind w:left="720" w:hanging="720"/>
        <w:rPr>
          <w:color w:val="000000"/>
        </w:rPr>
      </w:pPr>
    </w:p>
    <w:p w:rsidR="00413933" w:rsidRDefault="00413933" w:rsidP="00413933">
      <w:pPr>
        <w:tabs>
          <w:tab w:val="left" w:pos="2085"/>
        </w:tabs>
        <w:ind w:left="720" w:hanging="720"/>
      </w:pPr>
      <w:r w:rsidRPr="00BE29A5">
        <w:rPr>
          <w:color w:val="000000"/>
        </w:rPr>
        <w:t xml:space="preserve">Grant WB. Dietary links to Alzheimer’s disease: 1999 update. </w:t>
      </w:r>
      <w:r w:rsidRPr="00BE29A5">
        <w:rPr>
          <w:i/>
          <w:color w:val="000000"/>
        </w:rPr>
        <w:t>J Alz Dis.</w:t>
      </w:r>
      <w:r w:rsidRPr="00BE29A5">
        <w:rPr>
          <w:color w:val="000000"/>
        </w:rPr>
        <w:t xml:space="preserve"> 1999;1197-201.</w:t>
      </w:r>
      <w:r>
        <w:rPr>
          <w:color w:val="000000"/>
        </w:rPr>
        <w:t xml:space="preserve"> </w:t>
      </w:r>
      <w:r w:rsidRPr="00222822">
        <w:t>https://www.researchgate.net/profile/William_Grant2/publication/11175270_Dietary_Links_to_Alzheimer%27s_Disease_1999_Update/links/56180cd208ae044edbad1564/Dietary-Links-to-Alzheimers-Disease-1999-Update.pdf</w:t>
      </w:r>
    </w:p>
    <w:p w:rsidR="00413933" w:rsidRPr="00BE29A5" w:rsidRDefault="00413933" w:rsidP="00413933">
      <w:pPr>
        <w:tabs>
          <w:tab w:val="left" w:pos="2085"/>
        </w:tabs>
        <w:ind w:left="720" w:hanging="720"/>
      </w:pPr>
    </w:p>
    <w:p w:rsidR="00413933" w:rsidRDefault="00413933" w:rsidP="00413933">
      <w:pPr>
        <w:tabs>
          <w:tab w:val="left" w:pos="2085"/>
        </w:tabs>
        <w:ind w:left="720" w:hanging="720"/>
        <w:rPr>
          <w:color w:val="000000"/>
        </w:rPr>
      </w:pPr>
      <w:r w:rsidRPr="00BE29A5">
        <w:rPr>
          <w:color w:val="000000"/>
        </w:rPr>
        <w:t xml:space="preserve">Grant WB, Campbell A, Itzhaki RF, Savory J, The significance of environmental factors in the etiology of Alzheimer’s disease. </w:t>
      </w:r>
      <w:r w:rsidRPr="00BE29A5">
        <w:rPr>
          <w:i/>
          <w:color w:val="000000"/>
        </w:rPr>
        <w:t>J Alz Dis</w:t>
      </w:r>
      <w:r w:rsidRPr="00BE29A5">
        <w:rPr>
          <w:color w:val="000000"/>
        </w:rPr>
        <w:t xml:space="preserve"> (Debates from Challenging Views of Alzheimer Disease) 2002;4:179-89.</w:t>
      </w:r>
      <w:r>
        <w:rPr>
          <w:color w:val="000000"/>
        </w:rPr>
        <w:t xml:space="preserve"> </w:t>
      </w:r>
      <w:r w:rsidRPr="00222822">
        <w:rPr>
          <w:color w:val="000000"/>
        </w:rPr>
        <w:lastRenderedPageBreak/>
        <w:t>https://www.researchgate.net/profile/Arezoo_Campbell/publication/11162281_The_significance_of_environmental_factors_in_the_etiology_of_Alzheimer%27s_disease/links/553928740cf247b858810041/The-significance-of-environmental-factors-in-the-etiology-of-Alzheimers-disease.pdf</w:t>
      </w:r>
    </w:p>
    <w:p w:rsidR="00413933" w:rsidRDefault="00413933" w:rsidP="00413933">
      <w:pPr>
        <w:tabs>
          <w:tab w:val="left" w:pos="2085"/>
        </w:tabs>
        <w:ind w:left="720" w:hanging="720"/>
        <w:rPr>
          <w:color w:val="000000"/>
        </w:rPr>
      </w:pPr>
    </w:p>
    <w:p w:rsidR="00413933" w:rsidRDefault="00413933" w:rsidP="00413933">
      <w:pPr>
        <w:pStyle w:val="authors1"/>
        <w:spacing w:before="0" w:line="240" w:lineRule="auto"/>
        <w:ind w:left="720" w:hanging="720"/>
        <w:rPr>
          <w:sz w:val="24"/>
          <w:szCs w:val="24"/>
        </w:rPr>
      </w:pPr>
      <w:r w:rsidRPr="00BE29A5">
        <w:rPr>
          <w:sz w:val="24"/>
          <w:szCs w:val="24"/>
        </w:rPr>
        <w:t xml:space="preserve">Grant WB. </w:t>
      </w:r>
      <w:hyperlink r:id="rId17" w:history="1">
        <w:r w:rsidRPr="00BE29A5">
          <w:rPr>
            <w:sz w:val="24"/>
            <w:szCs w:val="24"/>
          </w:rPr>
          <w:t>Does vitamin D reduce the risk of dementia?</w:t>
        </w:r>
      </w:hyperlink>
      <w:r w:rsidRPr="00BE29A5">
        <w:rPr>
          <w:sz w:val="24"/>
          <w:szCs w:val="24"/>
        </w:rPr>
        <w:t xml:space="preserve"> </w:t>
      </w:r>
      <w:r>
        <w:rPr>
          <w:rStyle w:val="journalname"/>
          <w:sz w:val="24"/>
          <w:szCs w:val="24"/>
        </w:rPr>
        <w:t>J Alz</w:t>
      </w:r>
      <w:r w:rsidRPr="00BE29A5">
        <w:rPr>
          <w:rStyle w:val="journalname"/>
          <w:sz w:val="24"/>
          <w:szCs w:val="24"/>
        </w:rPr>
        <w:t xml:space="preserve"> Dis</w:t>
      </w:r>
      <w:r w:rsidRPr="00BE29A5">
        <w:rPr>
          <w:sz w:val="24"/>
          <w:szCs w:val="24"/>
        </w:rPr>
        <w:t>. 2009 May;17(1):151-9.</w:t>
      </w:r>
      <w:r>
        <w:rPr>
          <w:sz w:val="24"/>
          <w:szCs w:val="24"/>
        </w:rPr>
        <w:t xml:space="preserve"> </w:t>
      </w:r>
      <w:r w:rsidRPr="00222822">
        <w:rPr>
          <w:sz w:val="24"/>
          <w:szCs w:val="24"/>
        </w:rPr>
        <w:t>http://citeseerx.ist.psu.edu/viewdoc/download?doi=10.1.1.691.5644&amp;rep=rep1&amp;type=pdf</w:t>
      </w:r>
    </w:p>
    <w:p w:rsidR="00413933" w:rsidRPr="00BE29A5" w:rsidRDefault="00413933" w:rsidP="00413933">
      <w:pPr>
        <w:pStyle w:val="authors1"/>
        <w:spacing w:before="0" w:line="240" w:lineRule="auto"/>
        <w:ind w:left="720" w:hanging="720"/>
        <w:rPr>
          <w:sz w:val="24"/>
          <w:szCs w:val="24"/>
        </w:rPr>
      </w:pPr>
    </w:p>
    <w:p w:rsidR="00413933" w:rsidRDefault="00413933" w:rsidP="00413933">
      <w:pPr>
        <w:pStyle w:val="details"/>
        <w:spacing w:before="0" w:beforeAutospacing="0" w:after="0" w:afterAutospacing="0"/>
        <w:ind w:left="720" w:hanging="720"/>
      </w:pPr>
      <w:r w:rsidRPr="00BE29A5">
        <w:rPr>
          <w:color w:val="000000"/>
        </w:rPr>
        <w:t xml:space="preserve">Grant WB. </w:t>
      </w:r>
      <w:r w:rsidRPr="00BE29A5">
        <w:t xml:space="preserve">Trends in diet and Alzheimer’s disease during the nutrition transition in Japan and developing countries. </w:t>
      </w:r>
      <w:r>
        <w:rPr>
          <w:rStyle w:val="jrnl"/>
        </w:rPr>
        <w:t>J Alz</w:t>
      </w:r>
      <w:r w:rsidRPr="00BE29A5">
        <w:rPr>
          <w:rStyle w:val="jrnl"/>
        </w:rPr>
        <w:t xml:space="preserve"> Dis</w:t>
      </w:r>
      <w:r w:rsidRPr="00BE29A5">
        <w:t>. 2014 Jan 1;38(3):611-20.</w:t>
      </w:r>
      <w:r>
        <w:t xml:space="preserve"> </w:t>
      </w:r>
      <w:r w:rsidRPr="00EA013D">
        <w:t>https://www.researchgate.net/publication/256611483_Trends_in_Diet_and_Alzheimer's_Disease_During_the_Nutrition_Transition_in_Japan_and_Developing_Countries</w:t>
      </w:r>
    </w:p>
    <w:p w:rsidR="00413933" w:rsidRPr="00BE29A5" w:rsidRDefault="00413933" w:rsidP="00413933">
      <w:pPr>
        <w:pStyle w:val="details"/>
        <w:spacing w:before="0" w:beforeAutospacing="0" w:after="0" w:afterAutospacing="0"/>
        <w:ind w:left="720" w:hanging="720"/>
      </w:pPr>
    </w:p>
    <w:p w:rsidR="00413933" w:rsidRDefault="00413933" w:rsidP="00413933">
      <w:pPr>
        <w:tabs>
          <w:tab w:val="right" w:pos="9664"/>
        </w:tabs>
        <w:ind w:left="720" w:hanging="720"/>
      </w:pPr>
      <w:r w:rsidRPr="00BE29A5">
        <w:rPr>
          <w:lang w:val="en-GB"/>
        </w:rPr>
        <w:t xml:space="preserve">Wu YT , Grant WB, Prina AM, Lee HY, Brayne C. Nutrition and the prevalence of dementia in mainland China, Hong Kong and Taiwan: an ecological study. J Alz Dis. </w:t>
      </w:r>
      <w:r w:rsidRPr="00BE29A5">
        <w:t>2015 Jan 1;44(4):1099-106.</w:t>
      </w:r>
      <w:r>
        <w:t xml:space="preserve"> </w:t>
      </w:r>
      <w:r w:rsidRPr="00222822">
        <w:t>http://content.iospress.com/download/journal-of-alzheimers-disease/jad141926?id=journal-of-alzheimers-disease%2Fjad141926</w:t>
      </w:r>
    </w:p>
    <w:p w:rsidR="00413933" w:rsidRPr="00BE29A5" w:rsidRDefault="00413933" w:rsidP="00413933">
      <w:pPr>
        <w:tabs>
          <w:tab w:val="right" w:pos="9664"/>
        </w:tabs>
        <w:ind w:left="720" w:hanging="720"/>
      </w:pPr>
    </w:p>
    <w:p w:rsidR="00413933" w:rsidRDefault="00413933" w:rsidP="00413933">
      <w:pPr>
        <w:tabs>
          <w:tab w:val="right" w:pos="9664"/>
        </w:tabs>
        <w:ind w:left="720" w:hanging="720"/>
      </w:pPr>
      <w:r w:rsidRPr="00BE29A5">
        <w:t>Perrone L, Grant WB. Observational and ecological studies</w:t>
      </w:r>
      <w:r w:rsidRPr="00BE29A5">
        <w:rPr>
          <w:spacing w:val="-46"/>
        </w:rPr>
        <w:t xml:space="preserve">  </w:t>
      </w:r>
      <w:r w:rsidRPr="00BE29A5">
        <w:t xml:space="preserve">of dietary advanced glycation end products </w:t>
      </w:r>
      <w:r w:rsidRPr="00BE29A5">
        <w:rPr>
          <w:spacing w:val="-50"/>
        </w:rPr>
        <w:t xml:space="preserve"> </w:t>
      </w:r>
      <w:r w:rsidRPr="00BE29A5">
        <w:t xml:space="preserve">in national diets and </w:t>
      </w:r>
      <w:r w:rsidRPr="00BE29A5">
        <w:rPr>
          <w:spacing w:val="-3"/>
        </w:rPr>
        <w:t>Alzheimer’s</w:t>
      </w:r>
      <w:r w:rsidRPr="00BE29A5">
        <w:rPr>
          <w:spacing w:val="-28"/>
        </w:rPr>
        <w:t xml:space="preserve"> </w:t>
      </w:r>
      <w:r w:rsidRPr="00BE29A5">
        <w:t xml:space="preserve">disease </w:t>
      </w:r>
      <w:r w:rsidRPr="00BE29A5">
        <w:rPr>
          <w:w w:val="95"/>
        </w:rPr>
        <w:t>i</w:t>
      </w:r>
      <w:r w:rsidRPr="00BE29A5">
        <w:t>ncidence and</w:t>
      </w:r>
      <w:r w:rsidRPr="00BE29A5">
        <w:rPr>
          <w:spacing w:val="-17"/>
        </w:rPr>
        <w:t xml:space="preserve"> </w:t>
      </w:r>
      <w:r w:rsidRPr="00BE29A5">
        <w:rPr>
          <w:spacing w:val="-3"/>
        </w:rPr>
        <w:t xml:space="preserve">prevalence. </w:t>
      </w:r>
      <w:r>
        <w:rPr>
          <w:rStyle w:val="jrnl"/>
        </w:rPr>
        <w:t>J Alz</w:t>
      </w:r>
      <w:r w:rsidRPr="00BE29A5">
        <w:rPr>
          <w:rStyle w:val="jrnl"/>
        </w:rPr>
        <w:t xml:space="preserve"> Dis</w:t>
      </w:r>
      <w:r w:rsidRPr="00BE29A5">
        <w:t>. 2015;45: 965–79.</w:t>
      </w:r>
      <w:r>
        <w:t xml:space="preserve"> </w:t>
      </w:r>
      <w:r w:rsidRPr="00222822">
        <w:t>https://www.researchgate.net/profile/Lorena_Perrone/publication/271645120_Observational_and_Ecological_Studies_of_Dietary_Advanced_Glycation_End_Products_in_National_Diets_and_Alzheimer's_Disease_Incidence_and_Prevalence/links/54d650110cf2970e4e6b012d.pdf</w:t>
      </w:r>
    </w:p>
    <w:p w:rsidR="00413933" w:rsidRDefault="00413933" w:rsidP="00413933">
      <w:pPr>
        <w:tabs>
          <w:tab w:val="right" w:pos="9664"/>
        </w:tabs>
        <w:ind w:left="720" w:hanging="720"/>
      </w:pPr>
    </w:p>
    <w:p w:rsidR="00413933" w:rsidRPr="00BE29A5" w:rsidRDefault="00413933" w:rsidP="00413933">
      <w:pPr>
        <w:tabs>
          <w:tab w:val="right" w:pos="9664"/>
        </w:tabs>
        <w:ind w:left="720" w:hanging="720"/>
      </w:pPr>
      <w:r w:rsidRPr="00BE29A5">
        <w:t>Grant WB. Using Multicountry Ecological and Observational Studies to Determine Dietary Risk Factors for Alzheimer’s Disease. J Am Coll Nutr, 2016;35(5):476–489.  http://www.tandfonline.com/doi/full/10.1080/07315724.2016.1161566</w:t>
      </w:r>
    </w:p>
    <w:p w:rsidR="00413933" w:rsidRDefault="00413933" w:rsidP="00413933">
      <w:pPr>
        <w:tabs>
          <w:tab w:val="left" w:pos="2085"/>
        </w:tabs>
        <w:ind w:left="720" w:hanging="720"/>
      </w:pPr>
    </w:p>
    <w:p w:rsidR="009A46D8" w:rsidRDefault="009A46D8" w:rsidP="009A46D8">
      <w:pPr>
        <w:tabs>
          <w:tab w:val="left" w:pos="12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Grant WB. Dietary risk factors for Alzheimer's disease are well known. BMJ. Dec. 10, 2017 </w:t>
      </w:r>
      <w:r w:rsidRPr="00513982">
        <w:rPr>
          <w:sz w:val="22"/>
          <w:szCs w:val="22"/>
        </w:rPr>
        <w:t>http://www.bmj.com/content/359/bmj.j5375/rr</w:t>
      </w:r>
    </w:p>
    <w:p w:rsidR="009A46D8" w:rsidRDefault="009A46D8" w:rsidP="00413933">
      <w:pPr>
        <w:tabs>
          <w:tab w:val="left" w:pos="2085"/>
        </w:tabs>
        <w:ind w:left="720" w:hanging="720"/>
      </w:pPr>
    </w:p>
    <w:sectPr w:rsidR="009A46D8" w:rsidSect="0064419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84" w:rsidRDefault="000B2784" w:rsidP="0087640C">
      <w:r>
        <w:separator/>
      </w:r>
    </w:p>
  </w:endnote>
  <w:endnote w:type="continuationSeparator" w:id="1">
    <w:p w:rsidR="000B2784" w:rsidRDefault="000B2784" w:rsidP="0087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2569"/>
      <w:docPartObj>
        <w:docPartGallery w:val="Page Numbers (Bottom of Page)"/>
        <w:docPartUnique/>
      </w:docPartObj>
    </w:sdtPr>
    <w:sdtContent>
      <w:p w:rsidR="0087640C" w:rsidRDefault="00404118">
        <w:pPr>
          <w:pStyle w:val="Footer"/>
          <w:jc w:val="center"/>
        </w:pPr>
        <w:fldSimple w:instr=" PAGE   \* MERGEFORMAT ">
          <w:r w:rsidR="009A46D8">
            <w:rPr>
              <w:noProof/>
            </w:rPr>
            <w:t>1</w:t>
          </w:r>
        </w:fldSimple>
      </w:p>
    </w:sdtContent>
  </w:sdt>
  <w:p w:rsidR="0087640C" w:rsidRDefault="00876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84" w:rsidRDefault="000B2784" w:rsidP="0087640C">
      <w:r>
        <w:separator/>
      </w:r>
    </w:p>
  </w:footnote>
  <w:footnote w:type="continuationSeparator" w:id="1">
    <w:p w:rsidR="000B2784" w:rsidRDefault="000B2784" w:rsidP="00876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481"/>
    <w:multiLevelType w:val="multilevel"/>
    <w:tmpl w:val="7EC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65A"/>
    <w:rsid w:val="00092978"/>
    <w:rsid w:val="000B2784"/>
    <w:rsid w:val="001753D9"/>
    <w:rsid w:val="002811BE"/>
    <w:rsid w:val="00316E9F"/>
    <w:rsid w:val="0033036F"/>
    <w:rsid w:val="0033037A"/>
    <w:rsid w:val="003F68E0"/>
    <w:rsid w:val="00404118"/>
    <w:rsid w:val="00413933"/>
    <w:rsid w:val="004763D0"/>
    <w:rsid w:val="004B3844"/>
    <w:rsid w:val="00524518"/>
    <w:rsid w:val="005A0390"/>
    <w:rsid w:val="00601AA8"/>
    <w:rsid w:val="0062399A"/>
    <w:rsid w:val="00644197"/>
    <w:rsid w:val="007302E7"/>
    <w:rsid w:val="007E1A58"/>
    <w:rsid w:val="00863282"/>
    <w:rsid w:val="00874276"/>
    <w:rsid w:val="0087640C"/>
    <w:rsid w:val="00911A7D"/>
    <w:rsid w:val="009A46D8"/>
    <w:rsid w:val="00AC647B"/>
    <w:rsid w:val="00AF7631"/>
    <w:rsid w:val="00B122F5"/>
    <w:rsid w:val="00B72158"/>
    <w:rsid w:val="00BE3AAB"/>
    <w:rsid w:val="00C838BE"/>
    <w:rsid w:val="00D059E1"/>
    <w:rsid w:val="00D2747F"/>
    <w:rsid w:val="00D373CF"/>
    <w:rsid w:val="00DB1892"/>
    <w:rsid w:val="00DF1723"/>
    <w:rsid w:val="00E2423B"/>
    <w:rsid w:val="00E570FC"/>
    <w:rsid w:val="00E8665A"/>
    <w:rsid w:val="00F51F58"/>
    <w:rsid w:val="00FE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5A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601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01A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F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665A"/>
    <w:rPr>
      <w:color w:val="0000FF"/>
      <w:u w:val="single"/>
    </w:rPr>
  </w:style>
  <w:style w:type="paragraph" w:customStyle="1" w:styleId="HTMLBody">
    <w:name w:val="HTML Body"/>
    <w:rsid w:val="00E8665A"/>
    <w:rPr>
      <w:rFonts w:ascii="Arial" w:eastAsia="Times New Roman" w:hAnsi="Arial"/>
      <w:snapToGrid w:val="0"/>
      <w:sz w:val="20"/>
      <w:szCs w:val="20"/>
    </w:rPr>
  </w:style>
  <w:style w:type="paragraph" w:customStyle="1" w:styleId="authors1">
    <w:name w:val="authors1"/>
    <w:basedOn w:val="Normal"/>
    <w:rsid w:val="00E8665A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E8665A"/>
  </w:style>
  <w:style w:type="character" w:customStyle="1" w:styleId="jrnl">
    <w:name w:val="jrnl"/>
    <w:basedOn w:val="DefaultParagraphFont"/>
    <w:rsid w:val="00E8665A"/>
  </w:style>
  <w:style w:type="paragraph" w:customStyle="1" w:styleId="details">
    <w:name w:val="details"/>
    <w:basedOn w:val="Normal"/>
    <w:rsid w:val="00E8665A"/>
    <w:pPr>
      <w:spacing w:before="100" w:beforeAutospacing="1" w:after="100" w:afterAutospacing="1"/>
    </w:pPr>
  </w:style>
  <w:style w:type="paragraph" w:customStyle="1" w:styleId="title">
    <w:name w:val="title"/>
    <w:basedOn w:val="Normal"/>
    <w:rsid w:val="0033036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33036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01AA8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1AA8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1AA8"/>
    <w:pPr>
      <w:spacing w:before="100" w:beforeAutospacing="1" w:after="100" w:afterAutospacing="1"/>
    </w:pPr>
  </w:style>
  <w:style w:type="character" w:customStyle="1" w:styleId="ui-ncbitoggler-master-text">
    <w:name w:val="ui-ncbitoggler-master-text"/>
    <w:basedOn w:val="DefaultParagraphFont"/>
    <w:rsid w:val="00601AA8"/>
  </w:style>
  <w:style w:type="character" w:customStyle="1" w:styleId="highlight">
    <w:name w:val="highlight"/>
    <w:basedOn w:val="DefaultParagraphFont"/>
    <w:rsid w:val="00524518"/>
  </w:style>
  <w:style w:type="character" w:customStyle="1" w:styleId="source">
    <w:name w:val="source"/>
    <w:basedOn w:val="DefaultParagraphFont"/>
    <w:rsid w:val="00863282"/>
  </w:style>
  <w:style w:type="character" w:customStyle="1" w:styleId="Heading4Char">
    <w:name w:val="Heading 4 Char"/>
    <w:basedOn w:val="DefaultParagraphFont"/>
    <w:link w:val="Heading4"/>
    <w:uiPriority w:val="9"/>
    <w:semiHidden/>
    <w:rsid w:val="00F51F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876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40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76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40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2247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7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4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2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8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34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6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5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6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033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01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99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236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95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229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92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0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302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687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08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3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7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9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4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84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913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8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7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0681270" TargetMode="External"/><Relationship Id="rId13" Type="http://schemas.openxmlformats.org/officeDocument/2006/relationships/hyperlink" Target="https://www.ncbi.nlm.nih.gov/pubmed/1293695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7164965" TargetMode="External"/><Relationship Id="rId12" Type="http://schemas.openxmlformats.org/officeDocument/2006/relationships/hyperlink" Target="https://www.ncbi.nlm.nih.gov/pubmed/9497185" TargetMode="External"/><Relationship Id="rId17" Type="http://schemas.openxmlformats.org/officeDocument/2006/relationships/hyperlink" Target="http://www.ncbi.nlm.nih.gov/pubmed/19494440?ordinalpos=9&amp;itool=EntrezSystem2.PEntrez.Pubmed.Pubmed_ResultsPanel.Pubmed_DefaultReportPanel.Pubmed_RVDocS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85005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90389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9667777" TargetMode="External"/><Relationship Id="rId10" Type="http://schemas.openxmlformats.org/officeDocument/2006/relationships/hyperlink" Target="https://www.ncbi.nlm.nih.gov/pubmed/285222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432486" TargetMode="External"/><Relationship Id="rId14" Type="http://schemas.openxmlformats.org/officeDocument/2006/relationships/hyperlink" Target="http://www.ncbi.nlm.nih.gov/pubmed/25098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7</cp:revision>
  <dcterms:created xsi:type="dcterms:W3CDTF">2017-11-28T23:33:00Z</dcterms:created>
  <dcterms:modified xsi:type="dcterms:W3CDTF">2017-12-13T16:21:00Z</dcterms:modified>
</cp:coreProperties>
</file>